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CB" w:rsidRPr="00082BD9" w:rsidRDefault="007E2ECB" w:rsidP="007E2ECB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 xml:space="preserve">          </w:t>
      </w:r>
      <w:r w:rsidRPr="00082BD9">
        <w:rPr>
          <w:rFonts w:ascii="Times New Roman" w:eastAsia="標楷體" w:hAnsi="標楷體"/>
          <w:sz w:val="36"/>
          <w:szCs w:val="36"/>
        </w:rPr>
        <w:t>核酸定序儀申請單</w:t>
      </w:r>
      <w:r w:rsidRPr="00082BD9">
        <w:rPr>
          <w:rFonts w:ascii="Times New Roman" w:eastAsia="標楷體" w:hAnsi="Times New Roman"/>
          <w:sz w:val="36"/>
          <w:szCs w:val="36"/>
        </w:rPr>
        <w:t xml:space="preserve">         </w:t>
      </w:r>
      <w:r w:rsidRPr="00082BD9">
        <w:rPr>
          <w:rFonts w:ascii="Times New Roman" w:eastAsia="標楷體" w:hAnsi="標楷體"/>
        </w:rPr>
        <w:t>收件編號</w:t>
      </w:r>
    </w:p>
    <w:tbl>
      <w:tblPr>
        <w:tblpPr w:leftFromText="180" w:rightFromText="180" w:vertAnchor="text" w:horzAnchor="margin" w:tblpY="69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29"/>
        <w:gridCol w:w="1984"/>
        <w:gridCol w:w="181"/>
        <w:gridCol w:w="541"/>
        <w:gridCol w:w="722"/>
        <w:gridCol w:w="90"/>
        <w:gridCol w:w="812"/>
        <w:gridCol w:w="1083"/>
        <w:gridCol w:w="1624"/>
        <w:gridCol w:w="180"/>
        <w:gridCol w:w="716"/>
        <w:gridCol w:w="6"/>
        <w:gridCol w:w="1315"/>
      </w:tblGrid>
      <w:tr w:rsidR="007E2ECB" w:rsidRPr="00082BD9" w:rsidTr="007F1A0A">
        <w:trPr>
          <w:trHeight w:val="389"/>
        </w:trPr>
        <w:tc>
          <w:tcPr>
            <w:tcW w:w="1191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主持人</w:t>
            </w:r>
          </w:p>
        </w:tc>
        <w:tc>
          <w:tcPr>
            <w:tcW w:w="2165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申請人</w:t>
            </w:r>
          </w:p>
        </w:tc>
        <w:tc>
          <w:tcPr>
            <w:tcW w:w="1985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送件日期</w:t>
            </w:r>
          </w:p>
        </w:tc>
        <w:tc>
          <w:tcPr>
            <w:tcW w:w="2037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ECB" w:rsidRPr="00082BD9" w:rsidTr="007F1A0A">
        <w:trPr>
          <w:trHeight w:val="389"/>
        </w:trPr>
        <w:tc>
          <w:tcPr>
            <w:tcW w:w="1191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部</w:t>
            </w:r>
            <w:r w:rsidRPr="00082BD9">
              <w:rPr>
                <w:rFonts w:ascii="Times New Roman" w:eastAsia="標楷體" w:hAnsi="Times New Roman"/>
              </w:rPr>
              <w:t xml:space="preserve"> </w:t>
            </w:r>
            <w:r w:rsidRPr="00082BD9">
              <w:rPr>
                <w:rFonts w:ascii="Times New Roman" w:eastAsia="標楷體" w:hAnsi="標楷體"/>
              </w:rPr>
              <w:t>門</w:t>
            </w:r>
          </w:p>
        </w:tc>
        <w:tc>
          <w:tcPr>
            <w:tcW w:w="2165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分機</w:t>
            </w:r>
          </w:p>
        </w:tc>
        <w:tc>
          <w:tcPr>
            <w:tcW w:w="1985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037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ind w:rightChars="-17" w:right="-41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ECB" w:rsidRPr="00082BD9" w:rsidTr="007F1A0A">
        <w:trPr>
          <w:trHeight w:val="1525"/>
        </w:trPr>
        <w:tc>
          <w:tcPr>
            <w:tcW w:w="10445" w:type="dxa"/>
            <w:gridSpan w:val="14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082BD9">
              <w:rPr>
                <w:rFonts w:ascii="Times New Roman" w:eastAsia="標楷體" w:hAnsi="標楷體"/>
              </w:rPr>
              <w:t>樣品種類：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Double-stranded plasmid   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 xml:space="preserve">   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firstLineChars="500" w:firstLine="1200"/>
              <w:rPr>
                <w:rFonts w:ascii="Times New Roman" w:eastAsia="標楷體" w:hAnsi="Times New Roman"/>
                <w:kern w:val="2"/>
              </w:rPr>
            </w:pP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</w:rPr>
              <w:t xml:space="preserve"> PCR product</w:t>
            </w:r>
            <w:r w:rsidRPr="00082BD9">
              <w:rPr>
                <w:rFonts w:ascii="Times New Roman" w:eastAsia="標楷體" w:hAnsi="Times New Roman" w:hint="eastAsia"/>
              </w:rPr>
              <w:t xml:space="preserve">  (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樣品是否已自行純化</w:t>
            </w:r>
            <w:r w:rsidRPr="00082BD9">
              <w:rPr>
                <w:rFonts w:ascii="Times New Roman" w:eastAsia="標楷體" w:hAnsi="標楷體"/>
              </w:rPr>
              <w:t>：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是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否，未純化可能導致結果不良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)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特殊結構：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</w:t>
            </w:r>
            <w:r w:rsidRPr="00082BD9">
              <w:rPr>
                <w:rFonts w:ascii="Times New Roman" w:eastAsia="標楷體" w:hAnsi="標楷體"/>
                <w:kern w:val="2"/>
              </w:rPr>
              <w:t>是</w:t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(</w:t>
            </w:r>
            <w:r w:rsidRPr="00082BD9">
              <w:rPr>
                <w:rFonts w:ascii="Times New Roman" w:eastAsia="標楷體" w:hAnsi="Times New Roman"/>
                <w:kern w:val="2"/>
                <w:shd w:val="pct15" w:color="auto" w:fill="FFFFFF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shd w:val="pct15" w:color="auto" w:fill="FFFFFF"/>
              </w:rPr>
              <w:t xml:space="preserve"> GC-rich  </w:t>
            </w:r>
            <w:r w:rsidRPr="00082BD9">
              <w:rPr>
                <w:rFonts w:ascii="Times New Roman" w:eastAsia="標楷體" w:hAnsi="Times New Roman"/>
                <w:kern w:val="2"/>
                <w:shd w:val="pct15" w:color="auto" w:fill="FFFFFF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shd w:val="pct15" w:color="auto" w:fill="FFFFFF"/>
              </w:rPr>
              <w:t xml:space="preserve"> GT-rich)</w:t>
            </w:r>
            <w:r w:rsidRPr="00082BD9">
              <w:rPr>
                <w:rFonts w:ascii="Times New Roman" w:eastAsia="標楷體" w:hAnsi="Times New Roman"/>
              </w:rPr>
              <w:t xml:space="preserve">   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082BD9">
              <w:rPr>
                <w:rFonts w:ascii="Times New Roman" w:eastAsia="標楷體" w:hAnsi="標楷體"/>
                <w:kern w:val="2"/>
              </w:rPr>
              <w:t>否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樣品溶於：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</w:rPr>
              <w:t xml:space="preserve"> </w:t>
            </w:r>
            <w:r w:rsidRPr="00082BD9">
              <w:rPr>
                <w:rFonts w:ascii="Times New Roman" w:eastAsia="標楷體" w:hAnsi="Times New Roman"/>
                <w:bCs/>
              </w:rPr>
              <w:t>ddH</w:t>
            </w:r>
            <w:r w:rsidRPr="00082BD9">
              <w:rPr>
                <w:rFonts w:ascii="Times New Roman" w:eastAsia="標楷體" w:hAnsi="Times New Roman"/>
                <w:bCs/>
                <w:vertAlign w:val="subscript"/>
              </w:rPr>
              <w:t>2</w:t>
            </w:r>
            <w:r w:rsidRPr="00082BD9">
              <w:rPr>
                <w:rFonts w:ascii="Times New Roman" w:eastAsia="標楷體" w:hAnsi="Times New Roman"/>
                <w:bCs/>
              </w:rPr>
              <w:t xml:space="preserve">O   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</w:rPr>
              <w:t xml:space="preserve"> buffer 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u w:val="single"/>
              </w:rPr>
            </w:pPr>
            <w:proofErr w:type="gramStart"/>
            <w:r w:rsidRPr="00082BD9">
              <w:rPr>
                <w:rFonts w:ascii="Times New Roman" w:eastAsia="標楷體" w:hAnsi="標楷體"/>
              </w:rPr>
              <w:t>電泳圖</w:t>
            </w:r>
            <w:proofErr w:type="gramEnd"/>
            <w:r w:rsidRPr="00082BD9">
              <w:rPr>
                <w:rFonts w:ascii="Times New Roman" w:eastAsia="標楷體" w:hAnsi="Times New Roman"/>
              </w:rPr>
              <w:t>loading</w:t>
            </w:r>
            <w:r w:rsidRPr="00082BD9">
              <w:rPr>
                <w:rFonts w:ascii="Times New Roman" w:eastAsia="標楷體" w:hAnsi="標楷體"/>
              </w:rPr>
              <w:t>體積：</w:t>
            </w:r>
            <w:r w:rsidRPr="00082BD9">
              <w:rPr>
                <w:rFonts w:ascii="Times New Roman" w:eastAsia="標楷體" w:hAnsi="Times New Roman"/>
              </w:rPr>
              <w:t>marker</w:t>
            </w:r>
            <w:r w:rsidRPr="00082BD9">
              <w:rPr>
                <w:rFonts w:ascii="Times New Roman" w:eastAsia="標楷體" w:hAnsi="Times New Roman"/>
                <w:u w:val="single"/>
              </w:rPr>
              <w:t xml:space="preserve">      </w:t>
            </w:r>
            <w:proofErr w:type="spellStart"/>
            <w:r w:rsidRPr="00082BD9">
              <w:rPr>
                <w:rFonts w:ascii="Times New Roman" w:eastAsia="標楷體" w:hAnsi="Times New Roman"/>
                <w:u w:val="single"/>
              </w:rPr>
              <w:t>μl</w:t>
            </w:r>
            <w:proofErr w:type="spellEnd"/>
            <w:r w:rsidRPr="00082BD9">
              <w:rPr>
                <w:rFonts w:ascii="Times New Roman" w:eastAsia="標楷體" w:hAnsi="Times New Roman"/>
              </w:rPr>
              <w:t xml:space="preserve">  </w:t>
            </w:r>
            <w:r w:rsidRPr="00082BD9">
              <w:rPr>
                <w:rFonts w:ascii="Times New Roman" w:eastAsia="標楷體" w:hAnsi="標楷體"/>
              </w:rPr>
              <w:t>；</w:t>
            </w:r>
            <w:r w:rsidRPr="00082BD9">
              <w:rPr>
                <w:rFonts w:ascii="Times New Roman" w:eastAsia="標楷體" w:hAnsi="Times New Roman"/>
              </w:rPr>
              <w:t xml:space="preserve"> sample</w:t>
            </w:r>
            <w:r w:rsidRPr="00082BD9">
              <w:rPr>
                <w:rFonts w:ascii="Times New Roman" w:eastAsia="標楷體" w:hAnsi="Times New Roman"/>
                <w:u w:val="single"/>
              </w:rPr>
              <w:t xml:space="preserve">      </w:t>
            </w:r>
            <w:proofErr w:type="spellStart"/>
            <w:r w:rsidRPr="00082BD9">
              <w:rPr>
                <w:rFonts w:ascii="Times New Roman" w:eastAsia="標楷體" w:hAnsi="Times New Roman"/>
                <w:u w:val="single"/>
              </w:rPr>
              <w:t>μl</w:t>
            </w:r>
            <w:proofErr w:type="spellEnd"/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082BD9">
              <w:rPr>
                <w:rFonts w:ascii="Times New Roman" w:eastAsia="標楷體" w:hAnsi="標楷體" w:hint="eastAsia"/>
              </w:rPr>
              <w:t>定序結果取得</w:t>
            </w:r>
            <w:r w:rsidRPr="00082BD9">
              <w:rPr>
                <w:rFonts w:ascii="Times New Roman" w:eastAsia="標楷體" w:hAnsi="標楷體"/>
              </w:rPr>
              <w:t>方式：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</w:t>
            </w:r>
            <w:r w:rsidRPr="00082BD9">
              <w:rPr>
                <w:rFonts w:ascii="Times New Roman" w:eastAsia="標楷體" w:hAnsi="標楷體"/>
                <w:kern w:val="2"/>
              </w:rPr>
              <w:t>紙本</w:t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   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光碟</w:t>
            </w:r>
            <w:r w:rsidRPr="00082BD9">
              <w:rPr>
                <w:rFonts w:ascii="Times New Roman" w:eastAsia="標楷體" w:hAnsi="標楷體"/>
                <w:kern w:val="2"/>
              </w:rPr>
              <w:t>電子檔</w:t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   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/>
                <w:kern w:val="2"/>
              </w:rPr>
              <w:t xml:space="preserve"> 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E-mail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寄送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(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密碼保護：是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________</w:t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，否</w:t>
            </w:r>
            <w:r w:rsidRPr="00082BD9">
              <w:rPr>
                <w:rFonts w:ascii="Times New Roman" w:eastAsia="標楷體" w:hAnsi="Times New Roman"/>
                <w:kern w:val="2"/>
              </w:rPr>
              <w:sym w:font="Wingdings 2" w:char="F0A3"/>
            </w:r>
            <w:r w:rsidRPr="00082BD9">
              <w:rPr>
                <w:rFonts w:ascii="Times New Roman" w:eastAsia="標楷體" w:hAnsi="Times New Roman" w:hint="eastAsia"/>
                <w:kern w:val="2"/>
              </w:rPr>
              <w:t>)</w:t>
            </w:r>
            <w:r w:rsidRPr="00082BD9">
              <w:rPr>
                <w:rFonts w:ascii="Times New Roman" w:eastAsia="標楷體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2ECB" w:rsidRPr="00082BD9" w:rsidTr="007F1A0A">
        <w:trPr>
          <w:cantSplit/>
          <w:trHeight w:val="228"/>
        </w:trPr>
        <w:tc>
          <w:tcPr>
            <w:tcW w:w="462" w:type="dxa"/>
            <w:vMerge w:val="restart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No</w:t>
            </w:r>
          </w:p>
        </w:tc>
        <w:tc>
          <w:tcPr>
            <w:tcW w:w="6142" w:type="dxa"/>
            <w:gridSpan w:val="8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Template</w:t>
            </w:r>
          </w:p>
        </w:tc>
        <w:tc>
          <w:tcPr>
            <w:tcW w:w="2520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Primer</w:t>
            </w:r>
          </w:p>
        </w:tc>
        <w:tc>
          <w:tcPr>
            <w:tcW w:w="1321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E2ECB" w:rsidRPr="00082BD9" w:rsidTr="007F1A0A">
        <w:trPr>
          <w:cantSplit/>
          <w:trHeight w:val="262"/>
        </w:trPr>
        <w:tc>
          <w:tcPr>
            <w:tcW w:w="462" w:type="dxa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13" w:type="dxa"/>
            <w:gridSpan w:val="2"/>
            <w:vMerge w:val="restart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Sample Name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Size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(</w:t>
            </w:r>
            <w:proofErr w:type="spellStart"/>
            <w:r w:rsidRPr="00082BD9">
              <w:rPr>
                <w:rFonts w:ascii="Times New Roman" w:eastAsia="標楷體" w:hAnsi="Times New Roman"/>
              </w:rPr>
              <w:t>bp</w:t>
            </w:r>
            <w:proofErr w:type="spellEnd"/>
            <w:r w:rsidRPr="00082BD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624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標楷體"/>
              </w:rPr>
              <w:t>樣品種類</w:t>
            </w:r>
          </w:p>
        </w:tc>
        <w:tc>
          <w:tcPr>
            <w:tcW w:w="1083" w:type="dxa"/>
            <w:vMerge w:val="restart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Conc.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(</w:t>
            </w:r>
            <w:proofErr w:type="spellStart"/>
            <w:r w:rsidRPr="00082BD9">
              <w:rPr>
                <w:rFonts w:ascii="Times New Roman" w:eastAsia="標楷體" w:hAnsi="Times New Roman"/>
              </w:rPr>
              <w:t>ng</w:t>
            </w:r>
            <w:proofErr w:type="spellEnd"/>
            <w:r w:rsidRPr="00082BD9">
              <w:rPr>
                <w:rFonts w:ascii="Times New Roman" w:eastAsia="標楷體" w:hAnsi="Times New Roman"/>
              </w:rPr>
              <w:t>/</w:t>
            </w:r>
            <w:proofErr w:type="spellStart"/>
            <w:r w:rsidRPr="00082BD9">
              <w:rPr>
                <w:rFonts w:ascii="Times New Roman" w:eastAsia="標楷體" w:hAnsi="Times New Roman"/>
              </w:rPr>
              <w:t>μL</w:t>
            </w:r>
            <w:proofErr w:type="spellEnd"/>
            <w:r w:rsidRPr="00082BD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624" w:type="dxa"/>
            <w:vMerge w:val="restart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Name</w:t>
            </w:r>
          </w:p>
        </w:tc>
        <w:tc>
          <w:tcPr>
            <w:tcW w:w="902" w:type="dxa"/>
            <w:gridSpan w:val="3"/>
            <w:vMerge w:val="restart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Conc.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r w:rsidRPr="00082BD9">
              <w:rPr>
                <w:rFonts w:ascii="Times New Roman" w:eastAsia="標楷體" w:hAnsi="Times New Roman"/>
              </w:rPr>
              <w:t>(</w:t>
            </w:r>
            <w:proofErr w:type="spellStart"/>
            <w:r w:rsidRPr="00082BD9">
              <w:rPr>
                <w:rFonts w:ascii="Times New Roman" w:eastAsia="標楷體" w:hAnsi="Times New Roman"/>
              </w:rPr>
              <w:t>μM</w:t>
            </w:r>
            <w:proofErr w:type="spellEnd"/>
            <w:r w:rsidRPr="00082BD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ECB" w:rsidRPr="00082BD9" w:rsidTr="007F1A0A">
        <w:trPr>
          <w:cantSplit/>
          <w:trHeight w:val="186"/>
        </w:trPr>
        <w:tc>
          <w:tcPr>
            <w:tcW w:w="462" w:type="dxa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13" w:type="dxa"/>
            <w:gridSpan w:val="2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82BD9">
              <w:rPr>
                <w:rFonts w:ascii="Times New Roman" w:eastAsia="標楷體" w:hAnsi="Times New Roman"/>
                <w:sz w:val="18"/>
                <w:szCs w:val="18"/>
              </w:rPr>
              <w:t>plasmid</w:t>
            </w: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82BD9">
              <w:rPr>
                <w:rFonts w:ascii="Times New Roman" w:eastAsia="標楷體" w:hAnsi="Times New Roman"/>
                <w:sz w:val="18"/>
                <w:szCs w:val="18"/>
              </w:rPr>
              <w:t>PCR</w:t>
            </w:r>
          </w:p>
        </w:tc>
        <w:tc>
          <w:tcPr>
            <w:tcW w:w="1083" w:type="dxa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4" w:type="dxa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gridSpan w:val="3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5" w:type="dxa"/>
            <w:vMerge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7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9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17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19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345"/>
        </w:trPr>
        <w:tc>
          <w:tcPr>
            <w:tcW w:w="46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82BD9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2713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E2ECB" w:rsidRPr="00082BD9" w:rsidTr="007F1A0A">
        <w:trPr>
          <w:trHeight w:val="2915"/>
        </w:trPr>
        <w:tc>
          <w:tcPr>
            <w:tcW w:w="10445" w:type="dxa"/>
            <w:gridSpan w:val="14"/>
          </w:tcPr>
          <w:p w:rsidR="007E2ECB" w:rsidRPr="00943F20" w:rsidRDefault="007E2ECB" w:rsidP="007F1A0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eastAsia="標楷體" w:hAnsi="標楷體"/>
                <w:kern w:val="0"/>
                <w:sz w:val="20"/>
                <w:szCs w:val="20"/>
              </w:rPr>
            </w:pP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注意事項：</w:t>
            </w:r>
            <w:r w:rsidRPr="00943F20">
              <w:rPr>
                <w:rFonts w:eastAsia="標楷體" w:hAnsi="標楷體" w:hint="eastAsia"/>
                <w:kern w:val="0"/>
                <w:sz w:val="20"/>
                <w:szCs w:val="20"/>
              </w:rPr>
              <w:t>表單填寫名稱請與試管上相符，並請詳細填寫，不可</w:t>
            </w:r>
            <w:proofErr w:type="gramStart"/>
            <w:r w:rsidRPr="00943F20">
              <w:rPr>
                <w:rFonts w:eastAsia="標楷體" w:hAnsi="標楷體" w:hint="eastAsia"/>
                <w:kern w:val="0"/>
                <w:sz w:val="20"/>
                <w:szCs w:val="20"/>
              </w:rPr>
              <w:t>ㄧ</w:t>
            </w:r>
            <w:proofErr w:type="gramEnd"/>
            <w:r w:rsidRPr="00943F20">
              <w:rPr>
                <w:rFonts w:eastAsia="標楷體" w:hAnsi="標楷體" w:hint="eastAsia"/>
                <w:kern w:val="0"/>
                <w:sz w:val="20"/>
                <w:szCs w:val="20"/>
              </w:rPr>
              <w:t>空格內填入</w:t>
            </w:r>
            <w:proofErr w:type="gramStart"/>
            <w:r w:rsidRPr="00943F20">
              <w:rPr>
                <w:rFonts w:eastAsia="標楷體" w:hAnsi="標楷體" w:hint="eastAsia"/>
                <w:kern w:val="0"/>
                <w:sz w:val="20"/>
                <w:szCs w:val="20"/>
              </w:rPr>
              <w:t>過多組品項</w:t>
            </w:r>
            <w:proofErr w:type="gramEnd"/>
            <w:r w:rsidRPr="00943F20">
              <w:rPr>
                <w:rFonts w:eastAsia="標楷體" w:hAnsi="標楷體" w:hint="eastAsia"/>
                <w:kern w:val="0"/>
                <w:sz w:val="20"/>
                <w:szCs w:val="20"/>
              </w:rPr>
              <w:t>，避免混亂。</w:t>
            </w:r>
          </w:p>
          <w:p w:rsidR="007E2ECB" w:rsidRPr="00943F20" w:rsidRDefault="007E2ECB" w:rsidP="007F1A0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1. 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請將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>plasmid DNA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或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>PCR product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溶於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>ddH</w:t>
            </w:r>
            <w:r w:rsidRPr="00943F20">
              <w:rPr>
                <w:rFonts w:eastAsia="標楷體"/>
                <w:kern w:val="0"/>
                <w:sz w:val="20"/>
                <w:szCs w:val="20"/>
                <w:vertAlign w:val="subscript"/>
              </w:rPr>
              <w:t>2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>O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，</w:t>
            </w:r>
            <w:proofErr w:type="gramStart"/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勿溶於</w:t>
            </w:r>
            <w:proofErr w:type="gramEnd"/>
            <w:r w:rsidRPr="00943F20">
              <w:rPr>
                <w:rFonts w:eastAsia="標楷體"/>
                <w:kern w:val="0"/>
                <w:sz w:val="20"/>
                <w:szCs w:val="20"/>
              </w:rPr>
              <w:t>TE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中，以免離子產生干擾</w:t>
            </w:r>
            <w:r w:rsidRPr="00943F20">
              <w:rPr>
                <w:rFonts w:eastAsia="標楷體" w:hAnsi="標楷體" w:hint="eastAsia"/>
                <w:color w:val="FF0000"/>
                <w:kern w:val="0"/>
                <w:sz w:val="20"/>
                <w:szCs w:val="20"/>
              </w:rPr>
              <w:t>，並將</w:t>
            </w:r>
            <w:r w:rsidR="00691AED">
              <w:rPr>
                <w:rFonts w:eastAsia="標楷體" w:hint="eastAsia"/>
                <w:color w:val="FF0000"/>
                <w:sz w:val="20"/>
                <w:szCs w:val="20"/>
              </w:rPr>
              <w:t>檢體</w:t>
            </w:r>
            <w:bookmarkStart w:id="0" w:name="_GoBack"/>
            <w:bookmarkEnd w:id="0"/>
            <w:r w:rsidRPr="00943F20">
              <w:rPr>
                <w:rFonts w:eastAsia="標楷體" w:hint="eastAsia"/>
                <w:color w:val="FF0000"/>
                <w:sz w:val="20"/>
                <w:szCs w:val="20"/>
              </w:rPr>
              <w:t>放於</w:t>
            </w:r>
            <w:r w:rsidRPr="00943F20">
              <w:rPr>
                <w:rFonts w:eastAsia="標楷體" w:hint="eastAsia"/>
                <w:color w:val="FF0000"/>
                <w:sz w:val="20"/>
                <w:szCs w:val="20"/>
              </w:rPr>
              <w:t>0.2 mL tub</w:t>
            </w:r>
            <w:r w:rsidRPr="00943F20">
              <w:rPr>
                <w:rFonts w:eastAsia="標楷體"/>
                <w:color w:val="FF0000"/>
                <w:sz w:val="20"/>
                <w:szCs w:val="20"/>
              </w:rPr>
              <w:t>e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。</w:t>
            </w:r>
          </w:p>
          <w:p w:rsidR="007E2ECB" w:rsidRPr="00943F20" w:rsidRDefault="007E2ECB" w:rsidP="007F1A0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sz w:val="20"/>
                <w:szCs w:val="20"/>
              </w:rPr>
            </w:pP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2. </w:t>
            </w:r>
            <w:r w:rsidRPr="00943F20">
              <w:rPr>
                <w:rFonts w:eastAsia="標楷體" w:hAnsi="標楷體"/>
                <w:bCs/>
                <w:sz w:val="20"/>
                <w:szCs w:val="20"/>
              </w:rPr>
              <w:t>請提供至少</w:t>
            </w:r>
            <w:r w:rsidRPr="00943F20">
              <w:rPr>
                <w:rFonts w:eastAsia="標楷體"/>
                <w:bCs/>
                <w:sz w:val="20"/>
                <w:szCs w:val="20"/>
              </w:rPr>
              <w:t>1</w:t>
            </w:r>
            <w:r w:rsidRPr="00943F20">
              <w:rPr>
                <w:rFonts w:eastAsia="標楷體" w:hint="eastAsia"/>
                <w:bCs/>
                <w:sz w:val="20"/>
                <w:szCs w:val="20"/>
              </w:rPr>
              <w:t>0</w:t>
            </w:r>
            <w:r w:rsidRPr="00943F20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sz w:val="20"/>
                <w:szCs w:val="20"/>
              </w:rPr>
              <w:t>μl</w:t>
            </w:r>
            <w:proofErr w:type="spellEnd"/>
            <w:r w:rsidRPr="00943F20">
              <w:rPr>
                <w:rFonts w:eastAsia="標楷體" w:hAnsi="標楷體"/>
                <w:sz w:val="20"/>
                <w:szCs w:val="20"/>
              </w:rPr>
              <w:t>以上之樣品，</w:t>
            </w:r>
            <w:r w:rsidRPr="00943F20">
              <w:rPr>
                <w:rFonts w:eastAsia="標楷體" w:hAnsi="標楷體" w:hint="eastAsia"/>
                <w:sz w:val="20"/>
                <w:szCs w:val="20"/>
              </w:rPr>
              <w:t>建議適合的</w:t>
            </w:r>
            <w:r w:rsidRPr="00943F20">
              <w:rPr>
                <w:rFonts w:eastAsia="標楷體" w:hAnsi="標楷體"/>
                <w:bCs/>
                <w:sz w:val="20"/>
                <w:szCs w:val="20"/>
              </w:rPr>
              <w:t>濃度如下</w:t>
            </w:r>
            <w:r w:rsidRPr="00943F20">
              <w:rPr>
                <w:rFonts w:eastAsia="標楷體" w:hAnsi="標楷體"/>
                <w:sz w:val="20"/>
                <w:szCs w:val="20"/>
              </w:rPr>
              <w:t>，</w:t>
            </w:r>
            <w:r w:rsidRPr="00943F20">
              <w:rPr>
                <w:rFonts w:eastAsia="標楷體" w:hAnsi="標楷體" w:hint="eastAsia"/>
                <w:sz w:val="20"/>
                <w:szCs w:val="20"/>
              </w:rPr>
              <w:t>濃度過多或過少都會影響定序的結果</w:t>
            </w:r>
            <w:r w:rsidRPr="00943F20">
              <w:rPr>
                <w:rFonts w:eastAsia="標楷體" w:hAnsi="標楷體"/>
                <w:bCs/>
                <w:sz w:val="20"/>
                <w:szCs w:val="20"/>
              </w:rPr>
              <w:t>：</w:t>
            </w:r>
          </w:p>
          <w:p w:rsidR="007E2ECB" w:rsidRPr="00943F20" w:rsidRDefault="007E2ECB" w:rsidP="007F1A0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150" w:firstLine="300"/>
              <w:rPr>
                <w:rFonts w:eastAsia="標楷體"/>
                <w:kern w:val="0"/>
                <w:sz w:val="20"/>
                <w:szCs w:val="20"/>
              </w:rPr>
            </w:pPr>
            <w:r w:rsidRPr="00943F20">
              <w:rPr>
                <w:rFonts w:eastAsia="標楷體"/>
                <w:kern w:val="0"/>
                <w:sz w:val="20"/>
                <w:szCs w:val="20"/>
              </w:rPr>
              <w:t>PCR product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：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1000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kern w:val="0"/>
                <w:sz w:val="20"/>
                <w:szCs w:val="20"/>
              </w:rPr>
              <w:t>bp</w:t>
            </w:r>
            <w:proofErr w:type="spellEnd"/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以</w:t>
            </w:r>
            <w:proofErr w:type="gramStart"/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下</w:t>
            </w:r>
            <w:proofErr w:type="gramEnd"/>
            <w:r w:rsidRPr="00943F20">
              <w:rPr>
                <w:rFonts w:eastAsia="標楷體"/>
                <w:kern w:val="0"/>
                <w:sz w:val="20"/>
                <w:szCs w:val="20"/>
              </w:rPr>
              <w:sym w:font="Wingdings" w:char="F0E0"/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大於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20</w:t>
            </w:r>
            <w:r w:rsidRPr="00943F20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bCs/>
                <w:sz w:val="20"/>
                <w:szCs w:val="20"/>
              </w:rPr>
              <w:t>ng</w:t>
            </w:r>
            <w:proofErr w:type="spellEnd"/>
            <w:r w:rsidRPr="00943F20">
              <w:rPr>
                <w:rFonts w:eastAsia="標楷體"/>
                <w:kern w:val="0"/>
                <w:sz w:val="20"/>
                <w:szCs w:val="20"/>
              </w:rPr>
              <w:t>/</w:t>
            </w:r>
            <w:proofErr w:type="spellStart"/>
            <w:r w:rsidRPr="00943F20">
              <w:rPr>
                <w:rFonts w:eastAsia="標楷體"/>
                <w:kern w:val="0"/>
                <w:sz w:val="20"/>
                <w:szCs w:val="20"/>
              </w:rPr>
              <w:t>μl</w:t>
            </w:r>
            <w:proofErr w:type="spellEnd"/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；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1000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kern w:val="0"/>
                <w:sz w:val="20"/>
                <w:szCs w:val="20"/>
              </w:rPr>
              <w:t>bp</w:t>
            </w:r>
            <w:proofErr w:type="spellEnd"/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以上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sym w:font="Wingdings" w:char="F0E0"/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大於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40</w:t>
            </w:r>
            <w:r w:rsidRPr="00943F20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bCs/>
                <w:sz w:val="20"/>
                <w:szCs w:val="20"/>
              </w:rPr>
              <w:t>ng</w:t>
            </w:r>
            <w:proofErr w:type="spellEnd"/>
            <w:r w:rsidRPr="00943F20">
              <w:rPr>
                <w:rFonts w:eastAsia="標楷體"/>
                <w:kern w:val="0"/>
                <w:sz w:val="20"/>
                <w:szCs w:val="20"/>
              </w:rPr>
              <w:t>/</w:t>
            </w:r>
            <w:proofErr w:type="spellStart"/>
            <w:r w:rsidRPr="00943F20">
              <w:rPr>
                <w:rFonts w:eastAsia="標楷體"/>
                <w:kern w:val="0"/>
                <w:sz w:val="20"/>
                <w:szCs w:val="20"/>
              </w:rPr>
              <w:t>μl</w:t>
            </w:r>
            <w:proofErr w:type="spellEnd"/>
          </w:p>
          <w:p w:rsidR="007E2ECB" w:rsidRPr="00943F20" w:rsidRDefault="007E2ECB" w:rsidP="007F1A0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Chars="150" w:firstLine="300"/>
              <w:rPr>
                <w:rFonts w:eastAsia="標楷體"/>
                <w:kern w:val="0"/>
                <w:sz w:val="20"/>
                <w:szCs w:val="20"/>
              </w:rPr>
            </w:pP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Plasmid DNA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sym w:font="Wingdings" w:char="F0E0"/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大於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  <w:r w:rsidRPr="00943F20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bCs/>
                <w:sz w:val="20"/>
                <w:szCs w:val="20"/>
              </w:rPr>
              <w:t>ng</w:t>
            </w:r>
            <w:proofErr w:type="spellEnd"/>
            <w:r w:rsidRPr="00943F20">
              <w:rPr>
                <w:rFonts w:eastAsia="標楷體"/>
                <w:kern w:val="0"/>
                <w:sz w:val="20"/>
                <w:szCs w:val="20"/>
              </w:rPr>
              <w:t>/</w:t>
            </w:r>
            <w:proofErr w:type="spellStart"/>
            <w:r w:rsidRPr="00943F20">
              <w:rPr>
                <w:rFonts w:eastAsia="標楷體"/>
                <w:kern w:val="0"/>
                <w:sz w:val="20"/>
                <w:szCs w:val="20"/>
              </w:rPr>
              <w:t>μ</w:t>
            </w:r>
            <w:r w:rsidRPr="00943F20">
              <w:rPr>
                <w:rFonts w:ascii="標楷體" w:eastAsia="標楷體" w:hAnsi="標楷體"/>
                <w:kern w:val="0"/>
                <w:sz w:val="20"/>
                <w:szCs w:val="20"/>
              </w:rPr>
              <w:t>l</w:t>
            </w:r>
            <w:proofErr w:type="spellEnd"/>
            <w:r w:rsidRPr="00943F2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  <w:p w:rsidR="007E2ECB" w:rsidRPr="00943F20" w:rsidRDefault="007E2ECB" w:rsidP="007F1A0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3. 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每</w:t>
            </w:r>
            <w:proofErr w:type="gramStart"/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個</w:t>
            </w:r>
            <w:proofErr w:type="gramEnd"/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反應的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>primer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，至少提供濃度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sz w:val="20"/>
                <w:szCs w:val="20"/>
              </w:rPr>
              <w:t>μM</w:t>
            </w:r>
            <w:proofErr w:type="spellEnd"/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，體積</w:t>
            </w:r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Pr="00943F20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43F20">
              <w:rPr>
                <w:rFonts w:eastAsia="標楷體"/>
                <w:kern w:val="0"/>
                <w:sz w:val="20"/>
                <w:szCs w:val="20"/>
              </w:rPr>
              <w:t>μl</w:t>
            </w:r>
            <w:proofErr w:type="spellEnd"/>
            <w:r w:rsidRPr="00943F20">
              <w:rPr>
                <w:rFonts w:eastAsia="標楷體" w:hint="eastAsia"/>
                <w:kern w:val="0"/>
                <w:sz w:val="20"/>
                <w:szCs w:val="20"/>
              </w:rPr>
              <w:t>以上</w:t>
            </w:r>
            <w:r w:rsidRPr="00943F20">
              <w:rPr>
                <w:rFonts w:eastAsia="標楷體" w:hAnsi="標楷體"/>
                <w:kern w:val="0"/>
                <w:sz w:val="20"/>
                <w:szCs w:val="20"/>
              </w:rPr>
              <w:t>。</w:t>
            </w:r>
          </w:p>
          <w:p w:rsidR="007E2ECB" w:rsidRPr="00943F20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標楷體"/>
                <w:sz w:val="20"/>
                <w:szCs w:val="20"/>
              </w:rPr>
            </w:pPr>
            <w:r w:rsidRPr="00943F20">
              <w:rPr>
                <w:rFonts w:ascii="Times New Roman" w:eastAsia="標楷體" w:hAnsi="Times New Roman"/>
                <w:sz w:val="20"/>
                <w:szCs w:val="20"/>
              </w:rPr>
              <w:t xml:space="preserve">4. </w:t>
            </w:r>
            <w:r w:rsidRPr="00943F20">
              <w:rPr>
                <w:rFonts w:ascii="Times New Roman" w:eastAsia="標楷體" w:hAnsi="Times New Roman" w:hint="eastAsia"/>
                <w:sz w:val="20"/>
                <w:szCs w:val="20"/>
              </w:rPr>
              <w:t>為了得到好的定序結果，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建議提供</w:t>
            </w:r>
            <w:r w:rsidRPr="00943F20">
              <w:rPr>
                <w:rFonts w:ascii="Times New Roman" w:eastAsia="標楷體" w:hAnsi="標楷體"/>
                <w:sz w:val="20"/>
                <w:szCs w:val="20"/>
              </w:rPr>
              <w:t>電泳膠片圖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並</w:t>
            </w:r>
            <w:r w:rsidRPr="00943F20">
              <w:rPr>
                <w:rFonts w:ascii="Times New Roman" w:eastAsia="標楷體" w:hAnsi="標楷體"/>
                <w:sz w:val="20"/>
                <w:szCs w:val="20"/>
              </w:rPr>
              <w:t>每</w:t>
            </w:r>
            <w:proofErr w:type="gramStart"/>
            <w:r w:rsidRPr="00943F20">
              <w:rPr>
                <w:rFonts w:ascii="Times New Roman" w:eastAsia="標楷體" w:hAnsi="標楷體"/>
                <w:sz w:val="20"/>
                <w:szCs w:val="20"/>
              </w:rPr>
              <w:t>個</w:t>
            </w:r>
            <w:proofErr w:type="gramEnd"/>
            <w:r w:rsidRPr="00943F20">
              <w:rPr>
                <w:rFonts w:ascii="Times New Roman" w:eastAsia="標楷體" w:hAnsi="Times New Roman"/>
                <w:sz w:val="20"/>
                <w:szCs w:val="20"/>
              </w:rPr>
              <w:t>well</w:t>
            </w:r>
            <w:r w:rsidRPr="00943F20">
              <w:rPr>
                <w:rFonts w:ascii="Times New Roman" w:eastAsia="標楷體" w:hAnsi="Times New Roman" w:hint="eastAsia"/>
                <w:sz w:val="20"/>
                <w:szCs w:val="20"/>
              </w:rPr>
              <w:t>至少</w:t>
            </w:r>
            <w:r w:rsidRPr="00943F20">
              <w:rPr>
                <w:rFonts w:ascii="Times New Roman" w:eastAsia="標楷體" w:hAnsi="Times New Roman"/>
                <w:sz w:val="20"/>
                <w:szCs w:val="20"/>
              </w:rPr>
              <w:t xml:space="preserve"> loading 1~2 </w:t>
            </w:r>
            <w:proofErr w:type="spellStart"/>
            <w:r w:rsidRPr="00943F20">
              <w:rPr>
                <w:rFonts w:ascii="Times New Roman" w:eastAsia="標楷體" w:hAnsi="Times New Roman"/>
                <w:sz w:val="20"/>
                <w:szCs w:val="20"/>
              </w:rPr>
              <w:t>μl</w:t>
            </w:r>
            <w:proofErr w:type="spellEnd"/>
            <w:r w:rsidRPr="00943F20">
              <w:rPr>
                <w:rFonts w:ascii="Times New Roman" w:eastAsia="標楷體" w:hAnsi="標楷體"/>
                <w:sz w:val="20"/>
                <w:szCs w:val="20"/>
              </w:rPr>
              <w:t>樣品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。</w:t>
            </w:r>
          </w:p>
          <w:p w:rsidR="007E2ECB" w:rsidRPr="00943F20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rPr>
                <w:rFonts w:ascii="Times New Roman" w:eastAsia="標楷體" w:hAnsi="標楷體"/>
                <w:sz w:val="20"/>
                <w:szCs w:val="20"/>
                <w:shd w:val="pct15" w:color="auto" w:fill="FFFFFF"/>
              </w:rPr>
            </w:pP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 xml:space="preserve">5. 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樣品事先經過適當的純化，能有助得到更好的定序結果。</w:t>
            </w:r>
          </w:p>
          <w:p w:rsidR="007E2ECB" w:rsidRPr="00943F20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236" w:hangingChars="118" w:hanging="236"/>
              <w:rPr>
                <w:rFonts w:ascii="Times New Roman" w:eastAsia="標楷體" w:hAnsi="標楷體"/>
                <w:sz w:val="20"/>
                <w:szCs w:val="20"/>
              </w:rPr>
            </w:pP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 xml:space="preserve">6. 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登入醫院網頁</w:t>
            </w:r>
            <w:r w:rsidRPr="00943F20">
              <w:rPr>
                <w:rFonts w:ascii="Times New Roman" w:eastAsia="標楷體" w:hAnsi="標楷體"/>
                <w:sz w:val="20"/>
                <w:szCs w:val="20"/>
              </w:rPr>
              <w:t>http://lnkwww.cgmh.org.tw/intr/c3s000/about_lab.html</w:t>
            </w:r>
            <w:r w:rsidRPr="00943F20">
              <w:rPr>
                <w:rFonts w:ascii="Times New Roman" w:eastAsia="標楷體" w:hAnsi="標楷體"/>
                <w:sz w:val="20"/>
                <w:szCs w:val="20"/>
              </w:rPr>
              <w:t>，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選擇「基因定序」即可得知本實驗室各項最新消息與下載相關表單。</w:t>
            </w:r>
          </w:p>
          <w:p w:rsidR="007E2ECB" w:rsidRPr="00082BD9" w:rsidRDefault="007E2ECB" w:rsidP="007F1A0A">
            <w:pPr>
              <w:pStyle w:val="Web"/>
              <w:widowControl w:val="0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left="236" w:hangingChars="118" w:hanging="236"/>
              <w:rPr>
                <w:rFonts w:ascii="Times New Roman" w:eastAsia="標楷體" w:hAnsi="標楷體"/>
                <w:sz w:val="22"/>
                <w:szCs w:val="22"/>
              </w:rPr>
            </w:pP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 xml:space="preserve">7. </w:t>
            </w:r>
            <w:r w:rsidRPr="00943F20">
              <w:rPr>
                <w:rFonts w:ascii="Times New Roman" w:eastAsia="標楷體" w:hAnsi="標楷體" w:hint="eastAsia"/>
                <w:sz w:val="20"/>
                <w:szCs w:val="20"/>
              </w:rPr>
              <w:t>顧客之電子數據如需密碼保護，請提供本中心密碼，數據寄送至信箱再以設立之密碼開啟</w:t>
            </w:r>
          </w:p>
        </w:tc>
      </w:tr>
    </w:tbl>
    <w:p w:rsidR="007E2ECB" w:rsidRPr="00082BD9" w:rsidRDefault="007E2ECB" w:rsidP="007E2ECB">
      <w:pPr>
        <w:rPr>
          <w:rFonts w:eastAsia="標楷體"/>
        </w:rPr>
      </w:pPr>
      <w:r w:rsidRPr="00082BD9">
        <w:rPr>
          <w:rFonts w:eastAsia="標楷體" w:hAnsi="標楷體"/>
          <w:sz w:val="22"/>
          <w:szCs w:val="22"/>
        </w:rPr>
        <w:t>表單編號：</w:t>
      </w:r>
      <w:r w:rsidRPr="00082BD9">
        <w:rPr>
          <w:rFonts w:eastAsia="標楷體"/>
          <w:sz w:val="22"/>
          <w:szCs w:val="22"/>
        </w:rPr>
        <w:t>MRD-SOP-SC-001-F02</w:t>
      </w:r>
    </w:p>
    <w:p w:rsidR="006F57C4" w:rsidRDefault="006F57C4" w:rsidP="007E2ECB"/>
    <w:sectPr w:rsidR="006F57C4" w:rsidSect="007E2ECB">
      <w:pgSz w:w="11906" w:h="16838"/>
      <w:pgMar w:top="567" w:right="108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CB"/>
    <w:rsid w:val="00691AED"/>
    <w:rsid w:val="006F57C4"/>
    <w:rsid w:val="007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2ECB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E2ECB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MH</cp:lastModifiedBy>
  <cp:revision>2</cp:revision>
  <dcterms:created xsi:type="dcterms:W3CDTF">2015-10-02T02:05:00Z</dcterms:created>
  <dcterms:modified xsi:type="dcterms:W3CDTF">2021-11-10T02:57:00Z</dcterms:modified>
</cp:coreProperties>
</file>