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64BF1" w14:textId="77777777" w:rsidR="00727E3C" w:rsidRPr="00AC1236" w:rsidRDefault="00727E3C" w:rsidP="00727E3C">
      <w:pPr>
        <w:rPr>
          <w:rFonts w:ascii="Hannotate TC Bold" w:eastAsia="Hannotate TC Bold" w:hAnsi="Hannotate TC Bold"/>
        </w:rPr>
      </w:pPr>
      <w:r w:rsidRPr="00AC1236">
        <w:rPr>
          <w:rFonts w:ascii="Hannotate TC Bold" w:eastAsia="Hannotate TC Bold" w:hAnsi="Hannotate TC Bold" w:hint="eastAsia"/>
        </w:rPr>
        <w:t>前言</w:t>
      </w:r>
    </w:p>
    <w:p w14:paraId="403C0FA7" w14:textId="77777777" w:rsidR="00727E3C" w:rsidRPr="00AC1236" w:rsidRDefault="00727E3C" w:rsidP="00727E3C">
      <w:pPr>
        <w:ind w:firstLine="420"/>
        <w:rPr>
          <w:rFonts w:asciiTheme="minorEastAsia" w:hAnsiTheme="minorEastAsia"/>
        </w:rPr>
      </w:pPr>
      <w:r w:rsidRPr="00AC1236">
        <w:rPr>
          <w:rFonts w:asciiTheme="minorEastAsia" w:hAnsiTheme="minorEastAsia"/>
        </w:rPr>
        <w:t>良性攝護腺肥大與老化有密切的關係。雖然它本質並不是致命的疾病，但它的臨床症狀，如下泌尿道症狀會影響病人的生活品質。由文獻報告，可知65歲以上的男性，有將近30%的人被下泌尿道症狀所困擾。</w:t>
      </w:r>
      <w:r w:rsidRPr="00AC1236">
        <w:rPr>
          <w:rFonts w:asciiTheme="minorEastAsia" w:hAnsiTheme="minorEastAsia" w:hint="eastAsia"/>
        </w:rPr>
        <w:t>攝護腺肥大的症狀如持續加重回影響生活品質，特別是夜尿，造成多數患者必須晚上起床上廁所而無法持續睡眠，甚至行動不便的老年人增加跌倒意外風險。這些症狀在天冷的時候會更加嚴重。當</w:t>
      </w:r>
      <w:r w:rsidRPr="00AC1236">
        <w:rPr>
          <w:rFonts w:asciiTheme="minorEastAsia" w:hAnsiTheme="minorEastAsia"/>
        </w:rPr>
        <w:t>症狀造成較嚴重的生活困擾</w:t>
      </w:r>
      <w:r w:rsidRPr="00AC1236">
        <w:rPr>
          <w:rFonts w:asciiTheme="minorEastAsia" w:hAnsiTheme="minorEastAsia" w:hint="eastAsia"/>
        </w:rPr>
        <w:t>，我們會建議您就醫檢查治療。</w:t>
      </w:r>
    </w:p>
    <w:p w14:paraId="1B1CA9AE" w14:textId="77777777" w:rsidR="000F2BB5" w:rsidRPr="00AC1236" w:rsidRDefault="000F2BB5">
      <w:pPr>
        <w:rPr>
          <w:rFonts w:asciiTheme="minorEastAsia" w:hAnsiTheme="minorEastAsia"/>
        </w:rPr>
      </w:pPr>
      <w:r w:rsidRPr="00AC1236">
        <w:rPr>
          <w:rFonts w:asciiTheme="minorEastAsia" w:hAnsiTheme="minorEastAsia" w:hint="eastAsia"/>
        </w:rPr>
        <w:t xml:space="preserve">  </w:t>
      </w:r>
    </w:p>
    <w:p w14:paraId="35A6405E" w14:textId="77777777" w:rsidR="000F2BB5" w:rsidRPr="00AC1236" w:rsidRDefault="00666C7D" w:rsidP="000F2BB5">
      <w:pPr>
        <w:widowControl/>
        <w:jc w:val="left"/>
        <w:rPr>
          <w:rFonts w:ascii="Hannotate TC Bold" w:eastAsia="Hannotate TC Bold" w:hAnsi="Hannotate TC Bold" w:cs="仿宋"/>
          <w:kern w:val="0"/>
        </w:rPr>
      </w:pPr>
      <w:r w:rsidRPr="00AC1236">
        <w:rPr>
          <w:rFonts w:ascii="Hannotate TC Bold" w:eastAsia="Hannotate TC Bold" w:hAnsi="Hannotate TC Bold" w:cs="仿宋"/>
          <w:kern w:val="0"/>
        </w:rPr>
        <w:t>攝護腺肥大</w:t>
      </w:r>
      <w:r w:rsidR="000E18C5" w:rsidRPr="00AC1236">
        <w:rPr>
          <w:rFonts w:ascii="Hannotate TC Bold" w:eastAsia="Hannotate TC Bold" w:hAnsi="Hannotate TC Bold" w:cs="仿宋" w:hint="eastAsia"/>
          <w:kern w:val="0"/>
        </w:rPr>
        <w:t>如何診斷</w:t>
      </w:r>
    </w:p>
    <w:p w14:paraId="463D8CB5" w14:textId="66DCC269" w:rsidR="000F2BB5" w:rsidRPr="00AC1236" w:rsidRDefault="00455D62" w:rsidP="00AC1236">
      <w:pPr>
        <w:widowControl/>
        <w:jc w:val="left"/>
        <w:rPr>
          <w:rFonts w:asciiTheme="minorEastAsia" w:hAnsiTheme="minorEastAsia"/>
        </w:rPr>
      </w:pPr>
      <w:r w:rsidRPr="00AC1236">
        <w:rPr>
          <w:rFonts w:asciiTheme="minorEastAsia" w:hAnsiTheme="minorEastAsia" w:cs="仿宋" w:hint="eastAsia"/>
          <w:kern w:val="0"/>
        </w:rPr>
        <w:tab/>
        <w:t>臨床上</w:t>
      </w:r>
      <w:r w:rsidR="000E18C5" w:rsidRPr="00AC1236">
        <w:rPr>
          <w:rFonts w:asciiTheme="minorEastAsia" w:hAnsiTheme="minorEastAsia" w:hint="eastAsia"/>
        </w:rPr>
        <w:t>病史詢問包含</w:t>
      </w:r>
      <w:r w:rsidR="000E18C5" w:rsidRPr="00AC1236">
        <w:rPr>
          <w:rFonts w:asciiTheme="minorEastAsia" w:hAnsiTheme="minorEastAsia"/>
        </w:rPr>
        <w:t>國際前列腺症狀評分表 (IPSS)</w:t>
      </w:r>
      <w:r w:rsidRPr="00AC1236">
        <w:rPr>
          <w:rFonts w:asciiTheme="minorEastAsia" w:hAnsiTheme="minorEastAsia" w:hint="eastAsia"/>
        </w:rPr>
        <w:t>以及相關的內科問題是非常重要的。</w:t>
      </w:r>
      <w:r w:rsidR="000E18C5" w:rsidRPr="00AC1236">
        <w:rPr>
          <w:rFonts w:asciiTheme="minorEastAsia" w:hAnsiTheme="minorEastAsia" w:hint="eastAsia"/>
        </w:rPr>
        <w:t>肛門指診</w:t>
      </w:r>
      <w:r w:rsidRPr="00AC1236">
        <w:rPr>
          <w:rFonts w:asciiTheme="minorEastAsia" w:hAnsiTheme="minorEastAsia" w:cs="仿宋" w:hint="eastAsia"/>
          <w:kern w:val="0"/>
        </w:rPr>
        <w:t>，</w:t>
      </w:r>
      <w:r w:rsidR="000E18C5" w:rsidRPr="00AC1236">
        <w:rPr>
          <w:rFonts w:asciiTheme="minorEastAsia" w:hAnsiTheme="minorEastAsia" w:hint="eastAsia"/>
        </w:rPr>
        <w:t>攝護腺抗原指數 PSA 血液檢查</w:t>
      </w:r>
      <w:r w:rsidRPr="00AC1236">
        <w:rPr>
          <w:rFonts w:asciiTheme="minorEastAsia" w:hAnsiTheme="minorEastAsia" w:hint="eastAsia"/>
        </w:rPr>
        <w:t>以及</w:t>
      </w:r>
      <w:r w:rsidR="000E18C5" w:rsidRPr="00AC1236">
        <w:rPr>
          <w:rFonts w:asciiTheme="minorEastAsia" w:hAnsiTheme="minorEastAsia" w:hint="eastAsia"/>
        </w:rPr>
        <w:t>經直腸攝護腺超音波</w:t>
      </w:r>
      <w:r w:rsidRPr="00AC1236">
        <w:rPr>
          <w:rFonts w:asciiTheme="minorEastAsia" w:hAnsiTheme="minorEastAsia" w:hint="eastAsia"/>
        </w:rPr>
        <w:t>除了能給臨床醫師攝護腺肥大的嚴重程度之</w:t>
      </w:r>
      <w:r w:rsidR="00AC1236" w:rsidRPr="00AC1236">
        <w:rPr>
          <w:rFonts w:asciiTheme="minorEastAsia" w:hAnsiTheme="minorEastAsia" w:hint="eastAsia"/>
        </w:rPr>
        <w:t>外，是否有疼痛感，腫塊等也能讓我們早點診斷是否有攝護腺癌的可能</w:t>
      </w:r>
      <w:r w:rsidRPr="00AC1236">
        <w:rPr>
          <w:rFonts w:asciiTheme="minorEastAsia" w:hAnsiTheme="minorEastAsia" w:hint="eastAsia"/>
        </w:rPr>
        <w:t>。</w:t>
      </w:r>
      <w:r w:rsidRPr="00AC1236">
        <w:rPr>
          <w:rFonts w:asciiTheme="minorEastAsia" w:hAnsiTheme="minorEastAsia" w:cs="仿宋" w:hint="eastAsia"/>
          <w:kern w:val="0"/>
        </w:rPr>
        <w:t>必要的時候還會安排</w:t>
      </w:r>
      <w:r w:rsidR="000E18C5" w:rsidRPr="00AC1236">
        <w:rPr>
          <w:rFonts w:asciiTheme="minorEastAsia" w:hAnsiTheme="minorEastAsia" w:hint="eastAsia"/>
        </w:rPr>
        <w:t>尿路動力學檢查</w:t>
      </w:r>
      <w:r w:rsidRPr="00AC1236">
        <w:rPr>
          <w:rFonts w:asciiTheme="minorEastAsia" w:hAnsiTheme="minorEastAsia" w:hint="eastAsia"/>
        </w:rPr>
        <w:t>，了解平時排尿</w:t>
      </w:r>
      <w:r w:rsidRPr="00AC1236">
        <w:rPr>
          <w:rFonts w:asciiTheme="minorEastAsia" w:hAnsiTheme="minorEastAsia" w:cs="仿宋" w:hint="eastAsia"/>
          <w:kern w:val="0"/>
        </w:rPr>
        <w:t>型態，</w:t>
      </w:r>
      <w:r w:rsidR="00AC1236" w:rsidRPr="00AC1236">
        <w:rPr>
          <w:rFonts w:asciiTheme="minorEastAsia" w:hAnsiTheme="minorEastAsia" w:cs="仿宋" w:hint="eastAsia"/>
          <w:kern w:val="0"/>
        </w:rPr>
        <w:t>是判斷是否治療以及評估治療效果的重要依據。</w:t>
      </w:r>
    </w:p>
    <w:p w14:paraId="5399893D" w14:textId="77777777" w:rsidR="00AC1236" w:rsidRPr="00AC1236" w:rsidRDefault="00AC1236" w:rsidP="00AC1236">
      <w:pPr>
        <w:numPr>
          <w:ilvl w:val="0"/>
          <w:numId w:val="1"/>
        </w:numPr>
        <w:rPr>
          <w:rFonts w:asciiTheme="minorEastAsia" w:hAnsiTheme="minorEastAsia"/>
        </w:rPr>
      </w:pPr>
      <w:r w:rsidRPr="00AC1236">
        <w:rPr>
          <w:rFonts w:asciiTheme="minorEastAsia" w:hAnsiTheme="minorEastAsia"/>
        </w:rPr>
        <w:t>國際前列腺症狀評分表 (IPSS):</w:t>
      </w:r>
    </w:p>
    <w:p w14:paraId="4432BCA1" w14:textId="77777777" w:rsidR="00AC1236" w:rsidRPr="00AC1236" w:rsidRDefault="00AC1236" w:rsidP="00AC1236">
      <w:pPr>
        <w:numPr>
          <w:ilvl w:val="1"/>
          <w:numId w:val="1"/>
        </w:numPr>
        <w:rPr>
          <w:rFonts w:asciiTheme="minorEastAsia" w:hAnsiTheme="minorEastAsia"/>
        </w:rPr>
      </w:pPr>
      <w:r w:rsidRPr="00AC1236">
        <w:rPr>
          <w:rFonts w:asciiTheme="minorEastAsia" w:hAnsiTheme="minorEastAsia"/>
        </w:rPr>
        <w:t>無法完全排盡尿液(Incomplete emptying)：當小便完時感覺到膀胱裡的尿液並未完全排盡</w:t>
      </w:r>
    </w:p>
    <w:p w14:paraId="697B53AA" w14:textId="77777777" w:rsidR="00AC1236" w:rsidRPr="00AC1236" w:rsidRDefault="00AC1236" w:rsidP="00AC1236">
      <w:pPr>
        <w:numPr>
          <w:ilvl w:val="1"/>
          <w:numId w:val="1"/>
        </w:numPr>
        <w:rPr>
          <w:rFonts w:asciiTheme="minorEastAsia" w:hAnsiTheme="minorEastAsia"/>
        </w:rPr>
      </w:pPr>
      <w:r w:rsidRPr="00AC1236">
        <w:rPr>
          <w:rFonts w:asciiTheme="minorEastAsia" w:hAnsiTheme="minorEastAsia"/>
        </w:rPr>
        <w:t>頻尿(Frequency)：當小便完兩小時內又頻頻想小便</w:t>
      </w:r>
    </w:p>
    <w:p w14:paraId="3B457F2B" w14:textId="77777777" w:rsidR="00AC1236" w:rsidRPr="00AC1236" w:rsidRDefault="00AC1236" w:rsidP="00AC1236">
      <w:pPr>
        <w:numPr>
          <w:ilvl w:val="1"/>
          <w:numId w:val="1"/>
        </w:numPr>
        <w:rPr>
          <w:rFonts w:asciiTheme="minorEastAsia" w:hAnsiTheme="minorEastAsia"/>
        </w:rPr>
      </w:pPr>
      <w:r w:rsidRPr="00AC1236">
        <w:rPr>
          <w:rFonts w:asciiTheme="minorEastAsia" w:hAnsiTheme="minorEastAsia"/>
        </w:rPr>
        <w:t>間歇尿(Intermittency)：當小便的時候發現小便斷斷續續</w:t>
      </w:r>
    </w:p>
    <w:p w14:paraId="742C695D" w14:textId="77777777" w:rsidR="00AC1236" w:rsidRPr="00AC1236" w:rsidRDefault="00AC1236" w:rsidP="00AC1236">
      <w:pPr>
        <w:numPr>
          <w:ilvl w:val="1"/>
          <w:numId w:val="1"/>
        </w:numPr>
        <w:rPr>
          <w:rFonts w:asciiTheme="minorEastAsia" w:hAnsiTheme="minorEastAsia"/>
        </w:rPr>
      </w:pPr>
      <w:r w:rsidRPr="00AC1236">
        <w:rPr>
          <w:rFonts w:asciiTheme="minorEastAsia" w:hAnsiTheme="minorEastAsia"/>
        </w:rPr>
        <w:t>尿急(Urgency)：覺得無法憋尿</w:t>
      </w:r>
    </w:p>
    <w:p w14:paraId="66D2FF55" w14:textId="77777777" w:rsidR="00AC1236" w:rsidRPr="00AC1236" w:rsidRDefault="00AC1236" w:rsidP="00AC1236">
      <w:pPr>
        <w:numPr>
          <w:ilvl w:val="1"/>
          <w:numId w:val="1"/>
        </w:numPr>
        <w:rPr>
          <w:rFonts w:asciiTheme="minorEastAsia" w:hAnsiTheme="minorEastAsia"/>
        </w:rPr>
      </w:pPr>
      <w:r w:rsidRPr="00AC1236">
        <w:rPr>
          <w:rFonts w:asciiTheme="minorEastAsia" w:hAnsiTheme="minorEastAsia"/>
        </w:rPr>
        <w:t xml:space="preserve">排尿無力(Weak stream)：覺得排尿無力尿流甚弱 </w:t>
      </w:r>
    </w:p>
    <w:p w14:paraId="479A451B" w14:textId="77777777" w:rsidR="00AC1236" w:rsidRPr="00AC1236" w:rsidRDefault="00AC1236" w:rsidP="00AC1236">
      <w:pPr>
        <w:numPr>
          <w:ilvl w:val="1"/>
          <w:numId w:val="1"/>
        </w:numPr>
        <w:rPr>
          <w:rFonts w:asciiTheme="minorEastAsia" w:hAnsiTheme="minorEastAsia"/>
        </w:rPr>
      </w:pPr>
      <w:r w:rsidRPr="00AC1236">
        <w:rPr>
          <w:rFonts w:asciiTheme="minorEastAsia" w:hAnsiTheme="minorEastAsia"/>
        </w:rPr>
        <w:t>逼尿(Straining)：覺得在開始排尿時必須用力逼尿才能排出</w:t>
      </w:r>
    </w:p>
    <w:p w14:paraId="18A38106" w14:textId="36B55DD0" w:rsidR="00AC1236" w:rsidRPr="00AC1236" w:rsidRDefault="00AC1236" w:rsidP="00AC1236">
      <w:pPr>
        <w:numPr>
          <w:ilvl w:val="1"/>
          <w:numId w:val="1"/>
        </w:numPr>
        <w:rPr>
          <w:rFonts w:asciiTheme="minorEastAsia" w:hAnsiTheme="minorEastAsia"/>
        </w:rPr>
      </w:pPr>
      <w:r w:rsidRPr="00AC1236">
        <w:rPr>
          <w:rFonts w:asciiTheme="minorEastAsia" w:hAnsiTheme="minorEastAsia"/>
        </w:rPr>
        <w:t>夜尿症(Nocturia)：夜間睡眠中必須起床小便</w:t>
      </w:r>
    </w:p>
    <w:p w14:paraId="424BD8F7" w14:textId="77777777" w:rsidR="000F2BB5" w:rsidRPr="00AC1236" w:rsidRDefault="000F2BB5">
      <w:pPr>
        <w:rPr>
          <w:rFonts w:asciiTheme="minorEastAsia" w:hAnsiTheme="minorEastAsia"/>
        </w:rPr>
      </w:pPr>
    </w:p>
    <w:p w14:paraId="72CF5411" w14:textId="77777777" w:rsidR="000F2BB5" w:rsidRPr="00AC1236" w:rsidRDefault="000F2BB5" w:rsidP="000F2BB5">
      <w:pPr>
        <w:widowControl/>
        <w:jc w:val="left"/>
        <w:rPr>
          <w:rFonts w:ascii="Hannotate TC Bold" w:eastAsia="Hannotate TC Bold" w:hAnsi="Hannotate TC Bold" w:cs="Times New Roman"/>
          <w:kern w:val="0"/>
          <w:sz w:val="20"/>
          <w:szCs w:val="20"/>
        </w:rPr>
      </w:pPr>
      <w:r w:rsidRPr="00AC1236">
        <w:rPr>
          <w:rFonts w:ascii="Hannotate TC Bold" w:eastAsia="Hannotate TC Bold" w:hAnsi="Hannotate TC Bold" w:cs="仿宋"/>
          <w:kern w:val="0"/>
        </w:rPr>
        <w:t>常見的治療方式</w:t>
      </w:r>
    </w:p>
    <w:p w14:paraId="16D9164D" w14:textId="77777777" w:rsidR="00A1039D" w:rsidRPr="00AC1236" w:rsidRDefault="00CA6258" w:rsidP="00CA6258">
      <w:pPr>
        <w:rPr>
          <w:rFonts w:asciiTheme="minorEastAsia" w:hAnsiTheme="minorEastAsia"/>
        </w:rPr>
      </w:pPr>
      <w:r w:rsidRPr="00AC1236">
        <w:rPr>
          <w:rFonts w:asciiTheme="minorEastAsia" w:hAnsiTheme="minorEastAsia" w:hint="eastAsia"/>
        </w:rPr>
        <w:tab/>
        <w:t>當症狀輕微的時候，改變生活習慣最重要的：不在短時間內大量飲水，特別是睡前，減少菸酒咖啡辣椒等刺激性食物，多吃蔬菜水果減少便秘，不要憋尿，保有固定運動的習慣。</w:t>
      </w:r>
    </w:p>
    <w:p w14:paraId="213940D8" w14:textId="77777777" w:rsidR="00A1039D" w:rsidRPr="00AC1236" w:rsidRDefault="00CA6258" w:rsidP="00A1039D">
      <w:pPr>
        <w:rPr>
          <w:rFonts w:asciiTheme="minorEastAsia" w:hAnsiTheme="minorEastAsia" w:cs="Times New Roman"/>
          <w:color w:val="000000"/>
          <w:kern w:val="0"/>
        </w:rPr>
      </w:pPr>
      <w:r w:rsidRPr="00AC1236">
        <w:rPr>
          <w:rFonts w:asciiTheme="minorEastAsia" w:hAnsiTheme="minorEastAsia" w:hint="eastAsia"/>
        </w:rPr>
        <w:t>藥物治療方面：</w:t>
      </w:r>
      <w:r w:rsidRPr="00AC1236">
        <w:rPr>
          <w:rFonts w:asciiTheme="minorEastAsia" w:hAnsiTheme="minorEastAsia" w:cs="仿宋"/>
          <w:kern w:val="0"/>
          <w:shd w:val="clear" w:color="auto" w:fill="FFFFFF"/>
        </w:rPr>
        <w:t>有甲型交感神經阻斷劑、抗乙醯膽鹼及</w:t>
      </w:r>
      <w:r w:rsidR="00A1039D" w:rsidRPr="00AC1236">
        <w:rPr>
          <w:rFonts w:asciiTheme="minorEastAsia" w:hAnsiTheme="minorEastAsia" w:cs="Times New Roman" w:hint="eastAsia"/>
          <w:color w:val="000000"/>
          <w:kern w:val="0"/>
        </w:rPr>
        <w:t>男性荷爾蒙抑制劑(5-α還原酶抑制劑)。</w:t>
      </w:r>
      <w:r w:rsidRPr="00AC1236">
        <w:rPr>
          <w:rFonts w:asciiTheme="minorEastAsia" w:hAnsiTheme="minorEastAsia" w:cs="仿宋"/>
          <w:kern w:val="0"/>
          <w:shd w:val="clear" w:color="auto" w:fill="FFFFFF"/>
        </w:rPr>
        <w:t>等</w:t>
      </w:r>
      <w:r w:rsidRPr="00AC1236">
        <w:rPr>
          <w:rFonts w:asciiTheme="minorEastAsia" w:hAnsiTheme="minorEastAsia" w:cs="仿宋" w:hint="eastAsia"/>
          <w:kern w:val="0"/>
          <w:shd w:val="clear" w:color="auto" w:fill="FFFFFF"/>
        </w:rPr>
        <w:t>。</w:t>
      </w:r>
      <w:r w:rsidRPr="00AC1236">
        <w:rPr>
          <w:rFonts w:asciiTheme="minorEastAsia" w:hAnsiTheme="minorEastAsia" w:cs="仿宋"/>
          <w:kern w:val="0"/>
          <w:shd w:val="clear" w:color="auto" w:fill="FFFFFF"/>
        </w:rPr>
        <w:t>甲型交感神經阻斷劑</w:t>
      </w:r>
      <w:r w:rsidRPr="00AC1236">
        <w:rPr>
          <w:rFonts w:asciiTheme="minorEastAsia" w:hAnsiTheme="minorEastAsia" w:cs="仿宋" w:hint="eastAsia"/>
          <w:kern w:val="0"/>
          <w:shd w:val="clear" w:color="auto" w:fill="FFFFFF"/>
        </w:rPr>
        <w:t>主要目的是讓膀胱出口放鬆，減少膀胱排空尿液來自攝護腺的阻力，此藥副作用有：姿勢性低血壓，頭暈，射精障礙，甚至勃起功能障礙。當患者是以頻尿，尿急等刺激性症狀為主，</w:t>
      </w:r>
      <w:r w:rsidR="00A1039D" w:rsidRPr="00AC1236">
        <w:rPr>
          <w:rFonts w:asciiTheme="minorEastAsia" w:hAnsiTheme="minorEastAsia" w:cs="仿宋" w:hint="eastAsia"/>
          <w:kern w:val="0"/>
          <w:shd w:val="clear" w:color="auto" w:fill="FFFFFF"/>
        </w:rPr>
        <w:t>我們會考慮</w:t>
      </w:r>
      <w:r w:rsidRPr="00AC1236">
        <w:rPr>
          <w:rFonts w:asciiTheme="minorEastAsia" w:hAnsiTheme="minorEastAsia" w:cs="仿宋"/>
          <w:kern w:val="0"/>
          <w:shd w:val="clear" w:color="auto" w:fill="FFFFFF"/>
        </w:rPr>
        <w:t>抗乙醯膽鹼</w:t>
      </w:r>
      <w:r w:rsidR="00A1039D" w:rsidRPr="00AC1236">
        <w:rPr>
          <w:rFonts w:asciiTheme="minorEastAsia" w:hAnsiTheme="minorEastAsia" w:cs="仿宋" w:hint="eastAsia"/>
          <w:kern w:val="0"/>
          <w:shd w:val="clear" w:color="auto" w:fill="FFFFFF"/>
        </w:rPr>
        <w:t>藥物</w:t>
      </w:r>
      <w:r w:rsidRPr="00AC1236">
        <w:rPr>
          <w:rFonts w:asciiTheme="minorEastAsia" w:hAnsiTheme="minorEastAsia" w:cs="仿宋" w:hint="eastAsia"/>
          <w:kern w:val="0"/>
          <w:shd w:val="clear" w:color="auto" w:fill="FFFFFF"/>
        </w:rPr>
        <w:t>，</w:t>
      </w:r>
      <w:r w:rsidR="00A1039D" w:rsidRPr="00AC1236">
        <w:rPr>
          <w:rFonts w:asciiTheme="minorEastAsia" w:hAnsiTheme="minorEastAsia" w:cs="仿宋" w:hint="eastAsia"/>
          <w:kern w:val="0"/>
          <w:shd w:val="clear" w:color="auto" w:fill="FFFFFF"/>
        </w:rPr>
        <w:t>目的是減少膀胱敏感的程度</w:t>
      </w:r>
      <w:r w:rsidRPr="00AC1236">
        <w:rPr>
          <w:rFonts w:asciiTheme="minorEastAsia" w:hAnsiTheme="minorEastAsia" w:cs="仿宋" w:hint="eastAsia"/>
          <w:kern w:val="0"/>
          <w:shd w:val="clear" w:color="auto" w:fill="FFFFFF"/>
        </w:rPr>
        <w:t>，</w:t>
      </w:r>
      <w:r w:rsidR="00A1039D" w:rsidRPr="00AC1236">
        <w:rPr>
          <w:rFonts w:asciiTheme="minorEastAsia" w:hAnsiTheme="minorEastAsia" w:cs="仿宋" w:hint="eastAsia"/>
          <w:kern w:val="0"/>
          <w:shd w:val="clear" w:color="auto" w:fill="FFFFFF"/>
        </w:rPr>
        <w:t>但是必須注意有可能會解尿困難</w:t>
      </w:r>
      <w:r w:rsidRPr="00AC1236">
        <w:rPr>
          <w:rFonts w:asciiTheme="minorEastAsia" w:hAnsiTheme="minorEastAsia" w:cs="仿宋" w:hint="eastAsia"/>
          <w:kern w:val="0"/>
          <w:shd w:val="clear" w:color="auto" w:fill="FFFFFF"/>
        </w:rPr>
        <w:t>，</w:t>
      </w:r>
      <w:r w:rsidR="00A1039D" w:rsidRPr="00AC1236">
        <w:rPr>
          <w:rFonts w:asciiTheme="minorEastAsia" w:hAnsiTheme="minorEastAsia" w:cs="仿宋" w:hint="eastAsia"/>
          <w:kern w:val="0"/>
          <w:shd w:val="clear" w:color="auto" w:fill="FFFFFF"/>
        </w:rPr>
        <w:t>所以當病人殘餘尿大於150cc。不建議使用類藥物。攝護腺肥大跟男性賀爾蒙有相當的關係，</w:t>
      </w:r>
      <w:r w:rsidR="00A1039D" w:rsidRPr="00AC1236">
        <w:rPr>
          <w:rFonts w:asciiTheme="minorEastAsia" w:hAnsiTheme="minorEastAsia" w:cs="Times New Roman" w:hint="eastAsia"/>
          <w:color w:val="000000"/>
          <w:kern w:val="0"/>
        </w:rPr>
        <w:t>男性荷爾蒙抑制劑可以抑制攝護腺肥大的增生，使攝護腺的體積縮小，但此藥品必須要長期服用3~6個月才能漸漸改善病人症狀，副作用是性慾減退，</w:t>
      </w:r>
      <w:r w:rsidR="009A1AA3" w:rsidRPr="00AC1236">
        <w:rPr>
          <w:rFonts w:asciiTheme="minorEastAsia" w:hAnsiTheme="minorEastAsia" w:cs="Times New Roman" w:hint="eastAsia"/>
          <w:color w:val="000000"/>
          <w:kern w:val="0"/>
        </w:rPr>
        <w:t>性功能障礙。</w:t>
      </w:r>
    </w:p>
    <w:p w14:paraId="1EED43BC" w14:textId="3ED4F666" w:rsidR="00666C7D" w:rsidRDefault="009A1AA3">
      <w:pPr>
        <w:rPr>
          <w:rFonts w:asciiTheme="minorEastAsia" w:hAnsiTheme="minorEastAsia"/>
        </w:rPr>
      </w:pPr>
      <w:r w:rsidRPr="00AC1236">
        <w:rPr>
          <w:rFonts w:asciiTheme="minorEastAsia" w:hAnsiTheme="minorEastAsia" w:cs="Times New Roman" w:hint="eastAsia"/>
          <w:color w:val="000000"/>
          <w:kern w:val="0"/>
        </w:rPr>
        <w:tab/>
        <w:t>當攝護腺肥大出現併發症如</w:t>
      </w:r>
      <w:r w:rsidRPr="00AC1236">
        <w:rPr>
          <w:rFonts w:asciiTheme="minorEastAsia" w:hAnsiTheme="minorEastAsia"/>
        </w:rPr>
        <w:t>反覆性、頑固性尿滯留</w:t>
      </w:r>
      <w:r w:rsidRPr="00AC1236">
        <w:rPr>
          <w:rFonts w:asciiTheme="minorEastAsia" w:hAnsiTheme="minorEastAsia" w:hint="eastAsia"/>
        </w:rPr>
        <w:t>，</w:t>
      </w:r>
      <w:r w:rsidRPr="00AC1236">
        <w:rPr>
          <w:rFonts w:asciiTheme="minorEastAsia" w:hAnsiTheme="minorEastAsia"/>
        </w:rPr>
        <w:t>腎積水、腎臟機能受損</w:t>
      </w:r>
      <w:r w:rsidRPr="00AC1236">
        <w:rPr>
          <w:rFonts w:asciiTheme="minorEastAsia" w:hAnsiTheme="minorEastAsia" w:hint="eastAsia"/>
        </w:rPr>
        <w:t>，</w:t>
      </w:r>
      <w:r w:rsidRPr="00AC1236">
        <w:rPr>
          <w:rFonts w:asciiTheme="minorEastAsia" w:hAnsiTheme="minorEastAsia"/>
        </w:rPr>
        <w:t xml:space="preserve"> 攝護腺肥大導致膀胱結石形成、尿路感染</w:t>
      </w:r>
      <w:r w:rsidRPr="00AC1236">
        <w:rPr>
          <w:rFonts w:asciiTheme="minorEastAsia" w:hAnsiTheme="minorEastAsia" w:hint="eastAsia"/>
        </w:rPr>
        <w:t>，</w:t>
      </w:r>
      <w:r w:rsidRPr="00AC1236">
        <w:rPr>
          <w:rFonts w:asciiTheme="minorEastAsia" w:hAnsiTheme="minorEastAsia"/>
        </w:rPr>
        <w:t>藥物治療效果不彰，影響到日常生活</w:t>
      </w:r>
      <w:r w:rsidRPr="00AC1236">
        <w:rPr>
          <w:rFonts w:asciiTheme="minorEastAsia" w:hAnsiTheme="minorEastAsia" w:hint="eastAsia"/>
        </w:rPr>
        <w:t>，手術治療才有介入的角色。目前有傳統的經尿道單極電刀攝護腺刮除，雙極電刀攝護腺刮除，或是更進一步雷射攝護腺汽化手術。傳統電刀</w:t>
      </w:r>
      <w:r w:rsidR="00356092">
        <w:rPr>
          <w:rFonts w:asciiTheme="minorEastAsia" w:hAnsiTheme="minorEastAsia" w:hint="eastAsia"/>
        </w:rPr>
        <w:t>手術過程</w:t>
      </w:r>
      <w:r w:rsidRPr="00AC1236">
        <w:rPr>
          <w:rFonts w:asciiTheme="minorEastAsia" w:hAnsiTheme="minorEastAsia" w:hint="eastAsia"/>
        </w:rPr>
        <w:t>較易</w:t>
      </w:r>
      <w:r w:rsidR="00356092">
        <w:rPr>
          <w:rFonts w:asciiTheme="minorEastAsia" w:hAnsiTheme="minorEastAsia" w:hint="eastAsia"/>
        </w:rPr>
        <w:t>有大量</w:t>
      </w:r>
      <w:r w:rsidRPr="00AC1236">
        <w:rPr>
          <w:rFonts w:asciiTheme="minorEastAsia" w:hAnsiTheme="minorEastAsia" w:hint="eastAsia"/>
        </w:rPr>
        <w:lastRenderedPageBreak/>
        <w:t>出血，水中毒等風險</w:t>
      </w:r>
      <w:r w:rsidR="00356092">
        <w:rPr>
          <w:rFonts w:asciiTheme="minorEastAsia" w:hAnsiTheme="minorEastAsia" w:hint="eastAsia"/>
        </w:rPr>
        <w:t>。</w:t>
      </w:r>
      <w:r w:rsidRPr="00AC1236">
        <w:rPr>
          <w:rFonts w:asciiTheme="minorEastAsia" w:hAnsiTheme="minorEastAsia" w:hint="eastAsia"/>
        </w:rPr>
        <w:t>雷射</w:t>
      </w:r>
      <w:r w:rsidR="00356092">
        <w:rPr>
          <w:rFonts w:asciiTheme="minorEastAsia" w:hAnsiTheme="minorEastAsia" w:hint="eastAsia"/>
        </w:rPr>
        <w:t>汽化</w:t>
      </w:r>
      <w:r w:rsidRPr="00AC1236">
        <w:rPr>
          <w:rFonts w:asciiTheme="minorEastAsia" w:hAnsiTheme="minorEastAsia" w:hint="eastAsia"/>
        </w:rPr>
        <w:t>手術</w:t>
      </w:r>
      <w:r w:rsidR="00356092">
        <w:rPr>
          <w:rFonts w:asciiTheme="minorEastAsia" w:hAnsiTheme="minorEastAsia" w:hint="eastAsia"/>
        </w:rPr>
        <w:t>過程</w:t>
      </w:r>
      <w:r w:rsidRPr="00AC1236">
        <w:rPr>
          <w:rFonts w:asciiTheme="minorEastAsia" w:hAnsiTheme="minorEastAsia" w:hint="eastAsia"/>
        </w:rPr>
        <w:t>相對於傳統手術來說有著</w:t>
      </w:r>
      <w:r w:rsidR="00356092">
        <w:rPr>
          <w:rFonts w:asciiTheme="minorEastAsia" w:hAnsiTheme="minorEastAsia" w:hint="eastAsia"/>
        </w:rPr>
        <w:t>幾乎不</w:t>
      </w:r>
      <w:r w:rsidRPr="00AC1236">
        <w:rPr>
          <w:rFonts w:asciiTheme="minorEastAsia" w:hAnsiTheme="minorEastAsia" w:hint="eastAsia"/>
        </w:rPr>
        <w:t>流血，安全性高，恢復較快等優點</w:t>
      </w:r>
      <w:r w:rsidR="00F337A4" w:rsidRPr="00AC1236">
        <w:rPr>
          <w:rFonts w:asciiTheme="minorEastAsia" w:hAnsiTheme="minorEastAsia" w:hint="eastAsia"/>
        </w:rPr>
        <w:t>。至於什麼是最好的治療，還是回到門診，由專業的泌尿科醫師為你診治，才能擬定對你最好的治療方式。</w:t>
      </w:r>
    </w:p>
    <w:p w14:paraId="275DCB33" w14:textId="544934E6" w:rsidR="003271EB" w:rsidRDefault="003271EB">
      <w:pPr>
        <w:rPr>
          <w:rFonts w:asciiTheme="minorEastAsia" w:hAnsiTheme="minorEastAsia"/>
        </w:rPr>
      </w:pPr>
    </w:p>
    <w:p w14:paraId="7D19FFE0" w14:textId="5213D9F2" w:rsidR="003271EB" w:rsidRDefault="003271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62863CDD" wp14:editId="69162EA0">
            <wp:extent cx="5270500" cy="11728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螢幕快照 2019-07-29 下午2.34.5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EA23" w14:textId="44CF16A8" w:rsidR="00473209" w:rsidRDefault="00473209">
      <w:pPr>
        <w:rPr>
          <w:rFonts w:asciiTheme="minorEastAsia" w:hAnsiTheme="minorEastAsia"/>
        </w:rPr>
      </w:pPr>
    </w:p>
    <w:p w14:paraId="72AFBA0C" w14:textId="48B0BF92" w:rsidR="00473209" w:rsidRPr="00AC1236" w:rsidRDefault="00473209" w:rsidP="0047320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土城長庚醫院泌尿科 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>張英勛</w:t>
      </w:r>
      <w:r>
        <w:rPr>
          <w:rFonts w:asciiTheme="minorEastAsia" w:hAnsiTheme="minorEastAsia" w:hint="eastAsia"/>
        </w:rPr>
        <w:t xml:space="preserve">醫師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撰</w:t>
      </w:r>
    </w:p>
    <w:p w14:paraId="57A511FB" w14:textId="77777777" w:rsidR="00473209" w:rsidRPr="00473209" w:rsidRDefault="00473209">
      <w:pPr>
        <w:rPr>
          <w:rFonts w:asciiTheme="minorEastAsia" w:hAnsiTheme="minorEastAsia" w:hint="eastAsia"/>
        </w:rPr>
      </w:pPr>
    </w:p>
    <w:sectPr w:rsidR="00473209" w:rsidRPr="00473209" w:rsidSect="001675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nnotate TC Bold">
    <w:panose1 w:val="03000700000000000000"/>
    <w:charset w:val="88"/>
    <w:family w:val="script"/>
    <w:pitch w:val="variable"/>
    <w:sig w:usb0="A00002FF" w:usb1="7ACF7CFB" w:usb2="00000016" w:usb3="00000000" w:csb0="00140001" w:csb1="00000000"/>
  </w:font>
  <w:font w:name="仿宋">
    <w:altName w:val="Athelas Bold"/>
    <w:panose1 w:val="02010609060101010101"/>
    <w:charset w:val="5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49C9"/>
    <w:multiLevelType w:val="hybridMultilevel"/>
    <w:tmpl w:val="C8807034"/>
    <w:lvl w:ilvl="0" w:tplc="E57A2F38">
      <w:numFmt w:val="bullet"/>
      <w:lvlText w:val="‧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2802A6"/>
    <w:multiLevelType w:val="hybridMultilevel"/>
    <w:tmpl w:val="AC304734"/>
    <w:lvl w:ilvl="0" w:tplc="ECE8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C40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8C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64E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EA46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31C5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7E4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EB2B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96A5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5BFE7694"/>
    <w:multiLevelType w:val="multilevel"/>
    <w:tmpl w:val="9EA2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B5"/>
    <w:rsid w:val="000E18C5"/>
    <w:rsid w:val="000F2BB5"/>
    <w:rsid w:val="0016752F"/>
    <w:rsid w:val="00215544"/>
    <w:rsid w:val="003271EB"/>
    <w:rsid w:val="00356092"/>
    <w:rsid w:val="003900BB"/>
    <w:rsid w:val="00455D62"/>
    <w:rsid w:val="00473209"/>
    <w:rsid w:val="00666C7D"/>
    <w:rsid w:val="00727E3C"/>
    <w:rsid w:val="009A1AA3"/>
    <w:rsid w:val="00A1039D"/>
    <w:rsid w:val="00A60F9F"/>
    <w:rsid w:val="00AC1236"/>
    <w:rsid w:val="00CA6258"/>
    <w:rsid w:val="00F247EB"/>
    <w:rsid w:val="00F3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5F2622"/>
  <w14:defaultImageDpi w14:val="300"/>
  <w15:docId w15:val="{F0D7910B-037F-2B41-B3B8-FF71BF2F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0E18C5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E18C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CA62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20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08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51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517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49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715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91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86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Microsoft Office User</cp:lastModifiedBy>
  <cp:revision>4</cp:revision>
  <cp:lastPrinted>2015-12-20T06:01:00Z</cp:lastPrinted>
  <dcterms:created xsi:type="dcterms:W3CDTF">2020-04-02T05:22:00Z</dcterms:created>
  <dcterms:modified xsi:type="dcterms:W3CDTF">2020-04-02T07:55:00Z</dcterms:modified>
</cp:coreProperties>
</file>